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</w:pPr>
      <w:r>
        <w:rPr>
          <w:rtl w:val="0"/>
          <w:lang w:val="ru-RU"/>
        </w:rPr>
        <w:t xml:space="preserve">Информация по Постановлению Правительства РФ от </w:t>
      </w:r>
      <w:r>
        <w:rPr>
          <w:rtl w:val="0"/>
          <w:lang w:val="ru-RU"/>
        </w:rPr>
        <w:t xml:space="preserve">23.09.2010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731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год</w:t>
      </w:r>
    </w:p>
    <w:p>
      <w:pPr>
        <w:pStyle w:val="Текстовый блок A"/>
        <w:widowControl w:val="0"/>
        <w:spacing w:line="240" w:lineRule="auto"/>
      </w:pPr>
    </w:p>
    <w:p>
      <w:pPr>
        <w:pStyle w:val="Текстовый блок A"/>
        <w:widowControl w:val="0"/>
        <w:spacing w:line="240" w:lineRule="auto"/>
      </w:pPr>
    </w:p>
    <w:tbl>
      <w:tblPr>
        <w:tblW w:w="10011" w:type="dxa"/>
        <w:jc w:val="left"/>
        <w:tblInd w:w="5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26"/>
        <w:gridCol w:w="4385"/>
      </w:tblGrid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Общая информация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Фирменное наименование юридического лица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Открытое акционерное общество «Домоуправляющая Компания Приокского района»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1.2.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руководителя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Селиверстов Олег Юрьевич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Генеральный директор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1.3.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Реквизиты свидетельства о государственной регистрации в качестве юридического лица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ОГРН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1055244061014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1.4.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Почтовый адрес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адрес фактического местонахождения органов управления юридического лица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603009,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Нижний Новгород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Батумская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 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1.5.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Контактный многоканальный телефон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+7 (831) 465-19-95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1.6.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Официальный сайт в сети Интернет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"https://dkpriok.com"</w:instrText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https://dkpriok.com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1.7.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"mailto:dkpriok@mail.ru"</w:instrText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dkpriok@mail.ru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1.8.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Режим работы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пн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чт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08.00-17.00,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08.00-16.00,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обед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12.00 - 12.48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1.9.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Прием населения специалистами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call-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центра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пн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08.00-20.00,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обед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12.00 - 12.48</w:t>
            </w:r>
          </w:p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1.10.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Прием населения генеральным директором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Еженедельно по четвергам  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15.00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адресу ул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Батумская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, 15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по предварительной записи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тел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053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Единые центры по обслуживанию населения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"https://dkpriok.com/rezhim-raboty"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</w:rPr>
              <w:t>https://dkpriok.com/rezhim-raboty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Прием заявок диспетчерской службой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Круглосуточно по телефону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053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находящихся в управлении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"https://dkpriok.com/sites/default/files/documents/2017-08/reestr_dogovorov_2016.doc"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отношении которых договоры были расторгнуты в предыдущем календарном году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Нижний Новгород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бульвар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60-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летия Октября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дом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25, </w:t>
            </w:r>
            <w:r>
              <w:rPr>
                <w:rStyle w:val="Нет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корп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1.15.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многоквартирных домов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03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1.16.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Общая информация о многоквартирных домах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управление которыми осуществляет управляющая организация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 том числе характеристика многоквартирного дома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включая адрес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год постройки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этажность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квартир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площадь жилых и нежилых помещений и помещений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входящих в состав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уровень благоустройства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серия и тип постройки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кадастровый номер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 его наличии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площадь земельного участка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входящего в состав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конструктивные и технические параметры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информация о системах инженерно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технического обеспечения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входящих в состав общего имущества в многоквартирном доме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instrText xml:space="preserve"> HYPERLINK "http://mkd.dkpriok.com"</w:instrText>
            </w:r>
            <w:r>
              <w:rPr>
                <w:rStyle w:val="Hyperlink.0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en-US"/>
              </w:rPr>
              <w:t>http://mkd.dkpriok.com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Основные показатели финансово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хозяйственной деятельности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2.1.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Годовая бухгалтерская отчетность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доходах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полученных за оказание услуг по управлению многоквартирными домами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2.3.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расходах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понесенных в связи с оказанием услуг по управлению многоквартирными домами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"https://dkpriok.com/sites/default/files/documents/2017-07/auditorskoe_zaklyuchenie.pdf"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выполняемых работах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услугах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содержанию и ремонту общего имущества в многоквартирном доме</w:t>
            </w:r>
          </w:p>
        </w:tc>
      </w:tr>
      <w:tr>
        <w:tblPrEx>
          <w:shd w:val="clear" w:color="auto" w:fill="ced7e7"/>
        </w:tblPrEx>
        <w:trPr>
          <w:trHeight w:val="307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оказываемые управляющей организацией в отношении общего имущества собственников помещений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из числа 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указанных в Правилах содержания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утвержденных Постановлением Правительства РФ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13.08.2006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491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соответствии с перечнем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указанном в Правилах содержания общего имущества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"https://dkpriok.com/sites/default/files/documents/2017-08/postanovlenie_pravitelstva_rf_ot_13.08.2006_no_491.rtf"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13.08.2006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№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491</w:t>
            </w:r>
            <w:r>
              <w:rPr/>
              <w:fldChar w:fldCharType="end" w:fldLock="0"/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содержанию и ремонту общего имущества в многоквартирном доме ненадлежащего качества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перерывами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превышающими установленную продолжительность»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3.1.1.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об использовании общего имущества в многоквартирном доме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"https://dkpriok.com/sites/default/files/documents/2017-05/otchety_2016.rar"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связанные с достижением целей управления многоквартирным домом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759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Услуги по обеспечению поставки в многоквартирный дом коммунальных ресурсов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холодное водоснабжение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горячее водоснабжение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водоотведение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газоснабжение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отопление</w:t>
            </w:r>
          </w:p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*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Состав предоставляемых коммунальных услуг определяется в зависимости от степени благоустройства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в пределах технической возможности внутридомовых инженерных  систем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"https://dkpriok.com/sites/default/files/documents/2017-08/postanovlenie_pravitelstva_rf_ot_06.05.2011_no_354.rtf"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06.05.2011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№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354</w:t>
            </w:r>
            <w:r>
              <w:rPr/>
              <w:fldChar w:fldCharType="end" w:fldLock="0"/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Предоставляется на основании решения общего собрания собственников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Охрана подъезда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 предоставляется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Охрана коллективных автостоянок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 предоставляется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Учет собственников помещений в многоквартирном доме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предоставляется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Иные услуги по управлению многоквартирным домом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предоставляются</w:t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Проект договора управления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заключаемого с собственниками помещений в многоквартирных домах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товариществами собственников жилья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ЖСК и другими специализированными кооперативами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instrText xml:space="preserve"> HYPERLINK "https://dkpriok.com/sites/default/files/documents/2017-09/proekt_du.docx"</w:instrTex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4.1.1.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 проведенных общих собраниях собственников помещений в многоквартирном доме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результатах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решениях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таких собраний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instrText xml:space="preserve"> HYPERLINK "https://dkpriok.com/sites/default/files/documents/2017-08/protokoly_sobraniy.zip"</w:instrText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3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shd w:val="clear" w:color="auto" w:fill="ffff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выполнении обязательств по договорам управления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 работ на год по содержанию и ремонту общего имущества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мер по снижению расходов на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выполняемые управляющей организацией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указанием периодичности и сроков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сведения об их выполнении и о причинах отклонения от плана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"https://dkpriok.com/sites/default/files/documents/2017-08/tr2017.xlsx"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количестве поступивших претензий и произведенных перерасчетах платы за содержание общего имущества МКД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"https://dkpriok.com/sites/default/files/documents/2017-08/4.3.kol-vo_pretenziy_i_pereraschety_po_soderzh.xlsx"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Сведения о количестве претензий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поступивших от собственников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связи с нарушением качества коммунальных услуг 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или при превышении установленной продолжительности перерывов их оказания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"https://dkpriok.com/sites/default/files/documents/2017-08/4.4.kol-vo_pretenz_ku.xlsx"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72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4.5.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Информация о капитальном ремонте общего имущества в многоквартирном доме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когда управляющей организации поручена организация проведения капитального ремонта этого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товариществом и кооперативом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осуществляющей деятельность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направленную на обеспечение проведения капитального ремонта общего имущества в многоквартирном доме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региональный оператор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"http://www.fkrnnov.ru/?id=1094"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Поиск информации по многоквартирному дому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5.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Привлечение к административной ответственности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5.1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случаев привлечения управляющей организации к административной ответственности за нарушения в сфере управления многоквартирными домами за предыдущий календарный год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5.2.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Копии документов о применении мер административного воздействия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"https://dkpriok.com/sites/default/files/documents/2017-08/postanovleniya_2016.zip"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5.3.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Меры предпринятые для устранения нарушений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повлекших применение административных санкций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"https://dkpriok.com/sites/default/files/documents/2017-08/administrativnye_pravonarusheniya_2016.xls"</w:instrText>
            </w:r>
            <w:r>
              <w:rPr>
                <w:rStyle w:val="Hyperlink.2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стоимости работ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управляющей организации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6.1.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Описание содержания каждой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периодичность выполнения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результат выполнения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гарантийный срок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указание конструктивных особенностей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степени физического износа и технического состояния общего имущества многоквартирного дома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определяющие выбор конкретных работ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"https://dkpriok.com/sites/default/files/documents/2017-08/kopiya_6.1._opisanie_s_period.xlsx"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Активная ссылка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11"/>
            <w:gridSpan w:val="2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Сведения о ценах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тарифах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коммунальные ресурсы</w:t>
            </w:r>
          </w:p>
        </w:tc>
      </w:tr>
      <w:tr>
        <w:tblPrEx>
          <w:shd w:val="clear" w:color="auto" w:fill="ced7e7"/>
        </w:tblPrEx>
        <w:trPr>
          <w:trHeight w:val="3492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Перечень коммунальных ресурсов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которые управляющая организация закупает у ресурсоснабжающих организаций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 указанием конкретных поставщиков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 также объема закупаемых ресурсов и цен на такие ресурсы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 которым управляющая организация закупает их у ресурсоснабжающих организаций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Для обеспечения многоквартирных домов холодной водой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горячей водой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тепловой энергией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электроэнергией заключены договоры на предоставление коммунальных услуг в необходимых потребителям объемах со следующими ресурсоснабжающими организациями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Нижегородский водоканал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Теплоэнерго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ООО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Нижновтеплоэнерго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Договор с ОАО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Нижегородская сбытовая компания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настоящее время находится в стадии разработки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потребители оплачивают коммунальные ресурсы непосредственно ресурсоснабжающим организациям по тарифам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утвержденным Региональной службой по тарифам Нижегородской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Тарифы для потребителей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установленные для ресурсоснабжающих организаций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 которых управляющая организация закупает коммунальные ресурсы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Активная ссылка по видам коммунальных ресурсов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горячая вода и теплоснабжение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электроснабжения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газоснабжение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водоснабжение и водоотведение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Тарифы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 коммунальные ресурсы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Расчет размера платежей для потребителей осуществляется на основании тарифов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установленных для ресурсоснабжающих организаций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Активная ссылка на тарифы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указанные в разделе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3477" w:hRule="atLeast"/>
        </w:trPr>
        <w:tc>
          <w:tcPr>
            <w:tcW w:type="dxa" w:w="5626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7.4.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Социальная норма потребления электрической энергии</w:t>
            </w:r>
          </w:p>
        </w:tc>
        <w:tc>
          <w:tcPr>
            <w:tcW w:type="dxa" w:w="4385"/>
            <w:tcBorders>
              <w:top w:val="single" w:color="aaaaaa" w:sz="6" w:space="0" w:shadow="0" w:frame="0"/>
              <w:left w:val="single" w:color="aaaaaa" w:sz="6" w:space="0" w:shadow="0" w:frame="0"/>
              <w:bottom w:val="single" w:color="aaaaaa" w:sz="6" w:space="0" w:shadow="0" w:frame="0"/>
              <w:right w:val="single" w:color="aaaaaa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1.   </w:t>
              <w:tab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instrText xml:space="preserve"> HYPERLINK "https://dkpriok.com/sites/default/files/documents/2017-08/postanovlenie_pravitelstva_rf_ot_22_07_2013_n_614.rtf"</w:instrTex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22.07.2013 N 614 "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О порядке установления и применения социальной нормы потребления электрической энергии 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(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мощности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и о внесении изменений в некоторые акты Правительства Российской Федерации по вопросам установления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2.   </w:t>
              <w:tab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instrText xml:space="preserve"> HYPERLINK "https://dkpriok.com/sites/default/files/documents/2017-08/socialnaia_norma_elektroenergii.rtf"</w:instrTex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Постановление Правительства Нижегородской области от 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28.05.2012 N 310 "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Об установлении размера социальной нормы потребления электрической энергии населением</w:t>
            </w:r>
            <w:r>
              <w:rPr>
                <w:rStyle w:val="Hyperlink.4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"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3.   </w:t>
              <w:tab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instrText xml:space="preserve"> HYPERLINK "https://dkpriok.com/sites/default/files/documents/2017-08/tarify_na_elektroenergiiu.docx"</w:instrTex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Решение РСТ Нижегородской области от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19.12.2014 N 60/135 "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Об установлении цен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(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тарифов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на электрическую энергию для населения и приравненных к нему категорий потребителей Нижегородской области на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 xml:space="preserve">2015 </w:t>
            </w:r>
            <w:r>
              <w:rPr>
                <w:rStyle w:val="Hyperlink.2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:lang w:val="ru-RU"/>
              </w:rPr>
              <w:t>год</w:t>
            </w:r>
            <w:r>
              <w:rPr/>
              <w:fldChar w:fldCharType="end" w:fldLock="0"/>
            </w:r>
          </w:p>
        </w:tc>
      </w:tr>
    </w:tbl>
    <w:p>
      <w:pPr>
        <w:pStyle w:val="Текстовый блок A"/>
        <w:widowControl w:val="0"/>
        <w:spacing w:line="240" w:lineRule="auto"/>
        <w:ind w:left="434" w:hanging="434"/>
      </w:pPr>
      <w:r/>
    </w:p>
    <w:sectPr>
      <w:headerReference w:type="default" r:id="rId4"/>
      <w:footerReference w:type="default" r:id="rId5"/>
      <w:pgSz w:w="11900" w:h="16840" w:orient="portrait"/>
      <w:pgMar w:top="1080" w:right="720" w:bottom="108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Нет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shd w:val="clear" w:color="auto" w:fill="ffffff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Нет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ru-RU"/>
    </w:rPr>
  </w:style>
  <w:style w:type="character" w:styleId="Hyperlink.3">
    <w:name w:val="Hyperlink.3"/>
    <w:basedOn w:val="Нет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shd w:val="clear" w:color="auto" w:fill="ffffff"/>
      <w:vertAlign w:val="baseline"/>
      <w:lang w:val="ru-RU"/>
    </w:rPr>
  </w:style>
  <w:style w:type="character" w:styleId="Hyperlink.4">
    <w:name w:val="Hyperlink.4"/>
    <w:basedOn w:val="Нет"/>
    <w:next w:val="Hyperlink.4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