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</w:pPr>
      <w:r>
        <w:rPr>
          <w:rtl w:val="0"/>
          <w:lang w:val="ru-RU"/>
        </w:rPr>
        <w:t xml:space="preserve">Информация по Постановлению Правительства РФ от </w:t>
      </w:r>
      <w:r>
        <w:rPr>
          <w:rtl w:val="0"/>
          <w:lang w:val="ru-RU"/>
        </w:rPr>
        <w:t xml:space="preserve">23.09.2010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731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год</w:t>
      </w:r>
    </w:p>
    <w:p>
      <w:pPr>
        <w:pStyle w:val="Текстовый блок A"/>
        <w:widowControl w:val="0"/>
        <w:spacing w:line="240" w:lineRule="auto"/>
      </w:pPr>
    </w:p>
    <w:p>
      <w:pPr>
        <w:pStyle w:val="Текстовый блок A"/>
        <w:widowControl w:val="0"/>
        <w:spacing w:line="240" w:lineRule="auto"/>
      </w:pPr>
    </w:p>
    <w:tbl>
      <w:tblPr>
        <w:tblW w:w="10459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78"/>
        <w:gridCol w:w="4581"/>
      </w:tblGrid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Общая информация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Фирменное наименование юридического лица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Открытое акционерное общество «Домоуправляющая Компания Приокского района»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1.2.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руководителя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Селиверстов Олег Юрьевич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Генеральный директор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1.3.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Реквизиты свидетельства о государственной регистрации в качестве юридического лица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ОГРН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1055244061014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1.4.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Почтовый адрес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адрес фактического местонахождения органов управления юридического лица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603009,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Нижний Новгород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Батумская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1.5.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Контактный многоканальный телефон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+7 (831) 465-19-95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1.6.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Официальный сайт в сети Интернет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"https://dkpriok.com"</w:instrText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https://dkpriok.com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1.7.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"mailto:dkpriok@mail.ru"</w:instrText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dkpriok@mail.ru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1.8.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Режим работы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пн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08.00-17.00,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08.00-16.00,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обед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12.00 - 12.48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1.9.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Прием населения специалистами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call-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центра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пн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08.00-20.00,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обед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12.00 - 12.48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1.10.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Прием населения генеральным директором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Еженедельно по четвергам  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15.00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адресу ул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Батумская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 15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по предварительной записи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тел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053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Единые центры по обслуживанию населения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Прием заявок диспетчерской службой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Круглосуточно по телефону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053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находящихся в управлении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"https://dkpriok.com/sites/default/files/documents/2017-08/reestr_dogovorov_2016.doc"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отношении которых договоры были расторгнуты в предыдущем календарном году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Нижний Новгород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бульвар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60-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летия Октября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25,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корп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1.15.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00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1.16.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Общая информация о многоквартирных домах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управление которыми осуществляет управляющая организация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 том числе характеристика многоквартирного дома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включая адрес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год постройки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этажность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квартир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площадь жилых и нежилых помещений и помещений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входящих в состав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уровень благоустройства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серия и тип постройки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кадастровый номер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его наличии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площадь земельного участка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входящего в состав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конструктивные и технические параметры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информация о системах инженерно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технического обеспечения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входящих в состав общего имущества в многоквартирном доме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"http://mkd.dkpriok.com"</w:instrText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http://mkd.dkpriok.com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Основные показатели финансово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хозяйственной деятельности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2.1.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Годовая бухгалтерская отчетность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доходах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полученных за оказание услуг по управлению многоквартирными домами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2.3.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расходах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понесенных в связи с оказанием услуг по управлению многоквартирными домами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выполняемых работах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услугах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содержанию и ремонту общего имущества в многоквартирном доме</w:t>
            </w:r>
          </w:p>
        </w:tc>
      </w:tr>
      <w:tr>
        <w:tblPrEx>
          <w:shd w:val="clear" w:color="auto" w:fill="ced7e7"/>
        </w:tblPrEx>
        <w:trPr>
          <w:trHeight w:val="304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оказываемые управляющей организацией в отношении общего имущества собственников помещений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 числа 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указанных в Правилах содержания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утвержденных Постановлением Правительства РФ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13.08.2006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491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соответствии с перечнем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указанном в Правилах содержания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"https://dkpriok.com/sites/default/files/documents/2017-08/postanovlenie_pravitelstva_rf_ot_13.08.2006_no_491.rtf"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13.08.2006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№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491</w:t>
            </w:r>
            <w:r>
              <w:rPr/>
              <w:fldChar w:fldCharType="end" w:fldLock="0"/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содержанию и ремонту общего имущества в многоквартирном доме ненадлежащего качества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перерывами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превышающими установленную продолжительность»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3.1.1.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об использовании общего имущества в многоквартирном доме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"https://dkpriok.com/sites/default/files/documents/2017-05/otchety_2016.rar"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связанные с достижением целей управления многоквартирным домом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729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 по обеспечению поставки в многоквартирный дом коммунальных ресурсов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холодное водоснабжение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горячее водоснабжение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водоотведение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газоснабжение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отопление</w:t>
            </w:r>
          </w:p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*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 предоставляемых коммунальных услуг определяется в зависимости от степени благоустройства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в пределах технической возможности внутридомовых инженерных  систем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"https://dkpriok.com/sites/default/files/documents/2017-08/postanovlenie_pravitelstva_rf_ot_06.05.2011_no_354.rtf"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06.05.2011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№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354</w:t>
            </w:r>
            <w:r>
              <w:rPr/>
              <w:fldChar w:fldCharType="end" w:fldLock="0"/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Предоставляется на основании решения общего собрания собственников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Охрана подъезда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 предоставляется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Охрана коллективных автостоянок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 предоставляется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Учет собственников помещений в многоквартирном доме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предоставляется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Иные услуги по управлению многоквартирным домом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предоставляются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Проект договора управления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заключаемого с собственниками помещений в многоквартирных домах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товариществами собственников жилья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ЖСК и другими специализированными кооперативами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"https://dkpriok.com/sites/default/files/documents/2017-08/du_04.04.2016.docx"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4.1.1.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 проведенных общих собраниях собственников помещений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результатах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решениях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таких собраний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olor w:val="0000ff"/>
                <w:sz w:val="18"/>
                <w:szCs w:val="18"/>
                <w:u w:val="single" w:color="0000ff"/>
                <w:shd w:val="clear" w:color="auto" w:fill="ffffff"/>
              </w:rPr>
              <w:fldChar w:fldCharType="begin" w:fldLock="0"/>
            </w:r>
            <w:r>
              <w:rPr>
                <w:rStyle w:val="Hyperlink.2"/>
                <w:color w:val="0000ff"/>
                <w:sz w:val="18"/>
                <w:szCs w:val="18"/>
                <w:u w:val="single" w:color="0000ff"/>
                <w:shd w:val="clear" w:color="auto" w:fill="ffffff"/>
              </w:rPr>
              <w:instrText xml:space="preserve"> HYPERLINK "https://dkpriok.com/sites/default/files/documents/2017-08/protokoly_sobraniy.zip"</w:instrText>
            </w:r>
            <w:r>
              <w:rPr>
                <w:rStyle w:val="Hyperlink.2"/>
                <w:color w:val="0000ff"/>
                <w:sz w:val="18"/>
                <w:szCs w:val="18"/>
                <w:u w:val="single" w:color="0000ff"/>
                <w:shd w:val="clear" w:color="auto" w:fill="ffffff"/>
              </w:rPr>
              <w:fldChar w:fldCharType="separate" w:fldLock="0"/>
            </w:r>
            <w:r>
              <w:rPr>
                <w:rStyle w:val="Hyperlink.2"/>
                <w:color w:val="0000ff"/>
                <w:sz w:val="18"/>
                <w:szCs w:val="18"/>
                <w:u w:val="single" w:color="0000ff"/>
                <w:shd w:val="clear" w:color="auto" w:fill="ffffff"/>
                <w:rtl w:val="0"/>
                <w:lang w:val="ru-RU"/>
              </w:rPr>
              <w:t>Активная ссылка</w:t>
            </w:r>
            <w:r>
              <w:rPr>
                <w:sz w:val="18"/>
                <w:szCs w:val="18"/>
                <w:u w:color="ff0000"/>
                <w:shd w:val="clear" w:color="auto" w:fill="ffffff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Сведения о выполнении обязательств по договорам управления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 работ на год по содержанию и ремонту общего имущества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мер по снижению расходов на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выполняемые управляющей организацией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указанием периодичности и сроков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сведения об их выполнении и о причинах отклонения от плана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"https://dkpriok.com/sites/default/files/documents/2017-08/tr2017.xlsx"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количестве поступивших претензий и произведенных перерасчетах платы за содержание общего имущества МКД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"https://dkpriok.com/sites/default/files/documents/2017-08/4.3.kol-vo_pretenziy_i_pereraschety_po_soderzh.xlsx"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количестве претензий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поступивших от собственников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связи с нарушением качества коммунальных услуг 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или при превышении установленной продолжительности перерывов их оказания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"https://dkpriok.com/sites/default/files/documents/2017-08/4.4.kol-vo_pretenz_ku.xlsx"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9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4.5.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 капитальном ремонте общего имущества в многоквартирном доме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когда управляющей организации поручена организация проведения капитального ремонта этого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товариществом и кооперативом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осуществляющей деятельность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направленную на обеспечение проведения капитального ремонта общего имущества в многоквартирном доме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региональный оператор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"http://www.fkrnnov.ru/?id=1094"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Поиск информации по многоквартирному дому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Привлечение к административной ответственности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5.1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случаев привлечения управляющей организации к административной ответственности за нарушения в сфере управления многоквартирными домами за предыдущий календарный год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Копии документов о применении мер административного воздействия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"https://dkpriok.com/sites/default/files/documents/2017-08/postanovleniya_2016.zip"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5.3.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Меры предпринятые для устранения нарушений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повлекших применение административных санкций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"https://dkpriok.com/sites/default/files/documents/2017-08/administrativnye_pravonarusheniya_2016.xls"</w:instrText>
            </w:r>
            <w:r>
              <w:rPr>
                <w:rStyle w:val="Hyperlink.1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стоимости работ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управляющей организации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6.1.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Описание содержания каждой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периодичность выполнения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результат выполнения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гарантийный срок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указание конструктивных особенностей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степени физического износа и технического состояния общего имущества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определяющие выбор конкретных работ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"https://dkpriok.com/sites/default/files/documents/2017-08/kopiya_6.1._opisanie_s_period.xlsx"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0459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ценах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тарифах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коммунальные ресурсы</w:t>
            </w:r>
          </w:p>
        </w:tc>
      </w:tr>
      <w:tr>
        <w:tblPrEx>
          <w:shd w:val="clear" w:color="auto" w:fill="ced7e7"/>
        </w:tblPrEx>
        <w:trPr>
          <w:trHeight w:val="3462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коммунальных ресурсов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которые управляющая организация закупает у ресурсоснабжающих организаций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указанием конкретных поставщиков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объема закупаемых ресурсов и цен на такие ресурсы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которым управляющая организация закупает их у ресурсоснабжающих организаций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Для обеспечения многоквартирных домов холодной водой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горячей водой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тепловой энергией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электроэнергией заключены договоры на предоставление коммунальных услуг в необходимых потребителям объемах со следующими ресурсоснабжающими организациями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Нижегородский водоканал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Теплоэнерго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ООО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Нижновтеплоэнерго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Договор с 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Нижегородская сбытовая компания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настоящее время находится в стадии разработки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потребители оплачивают коммунальные ресурсы непосредственно ресурсоснабжающим организациям по тарифам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утвержденным Региональной службой по тарифам Нижегородской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Тарифы для потребителей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установленные для ресурсоснабжающих организаций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 которых управляющая организация закупает коммунальные ресурсы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Активная ссылка по видам коммунальных ресурсов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горячая вода и теплоснабжение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электроснабжения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газоснабжение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водоснабжение и водоотведение</w:t>
            </w:r>
          </w:p>
        </w:tc>
      </w:tr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Тарифы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коммунальные ресурсы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Расчет размера платежей для потребителей осуществляется на основании тарифов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установленных для ресурсоснабжающих организаций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Активная ссылка на тарифы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указанные в разделе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3447" w:hRule="atLeast"/>
        </w:trPr>
        <w:tc>
          <w:tcPr>
            <w:tcW w:type="dxa" w:w="5878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Социальная норма потребления электрической энергии</w:t>
            </w:r>
          </w:p>
        </w:tc>
        <w:tc>
          <w:tcPr>
            <w:tcW w:type="dxa" w:w="4581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  </w:t>
              <w:tab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instrText xml:space="preserve"> HYPERLINK "https://dkpriok.com/sites/default/files/documents/2017-08/postanovlenie_pravitelstva_rf_ot_22_07_2013_n_614.rtf"</w:instrTex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22.07.2013 N 614 "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О порядке установления и применения социальной нормы потребления электрической энергии 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(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мощности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и о внесении изменений в некоторые акты Правительства Российской Федерации по вопросам установления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  </w:t>
              <w:tab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instrText xml:space="preserve"> HYPERLINK "https://dkpriok.com/sites/default/files/documents/2017-08/socialnaia_norma_elektroenergii.rtf"</w:instrTex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Нижегородской области от 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28.05.2012 N 310 "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Об установлении размера социальной нормы потребления электрической энергии населением</w: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"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  </w:t>
              <w:tab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"https://dkpriok.com/sites/default/files/documents/2017-08/tarify_na_elektroenergiiu.docx"</w:instrTex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Решение РСТ Нижегородской области от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19.12.2014 N 60/135 "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Об установлении цен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(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тарифов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на электрическую энергию для населения и приравненных к нему категорий потребителей Нижегородской области на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2015 </w:t>
            </w:r>
            <w:r>
              <w:rPr>
                <w:rStyle w:val="Hyperlink.1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год</w:t>
            </w:r>
            <w:r>
              <w:rPr/>
              <w:fldChar w:fldCharType="end" w:fldLock="0"/>
            </w:r>
          </w:p>
        </w:tc>
      </w:tr>
    </w:tbl>
    <w:p>
      <w:pPr>
        <w:pStyle w:val="Текстовый блок A"/>
        <w:widowControl w:val="0"/>
        <w:spacing w:line="240" w:lineRule="auto"/>
        <w:ind w:left="218" w:hanging="218"/>
      </w:pPr>
      <w:r/>
    </w:p>
    <w:sectPr>
      <w:headerReference w:type="default" r:id="rId4"/>
      <w:footerReference w:type="default" r:id="rId5"/>
      <w:pgSz w:w="11900" w:h="16840" w:orient="portrait"/>
      <w:pgMar w:top="1080" w:right="720" w:bottom="108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Нет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ru-RU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character" w:styleId="Hyperlink.3">
    <w:name w:val="Hyperlink.3"/>
    <w:basedOn w:val="Нет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